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5A7F" w14:textId="66E63FC5" w:rsidR="004A70B9" w:rsidRPr="004A70B9" w:rsidRDefault="004A70B9" w:rsidP="00C606A0">
      <w:pPr>
        <w:rPr>
          <w:b/>
          <w:bCs/>
          <w:sz w:val="28"/>
          <w:szCs w:val="28"/>
        </w:rPr>
      </w:pPr>
      <w:r w:rsidRPr="004A70B9">
        <w:rPr>
          <w:b/>
          <w:bCs/>
          <w:sz w:val="28"/>
          <w:szCs w:val="28"/>
        </w:rPr>
        <w:t>EIF/Purple Guide Governance Review Brief</w:t>
      </w:r>
    </w:p>
    <w:p w14:paraId="51AAD22C" w14:textId="103FB43D" w:rsidR="004A70B9" w:rsidRDefault="004A70B9" w:rsidP="004A70B9">
      <w:pPr>
        <w:rPr>
          <w:b/>
          <w:bCs/>
        </w:rPr>
      </w:pPr>
      <w:r>
        <w:rPr>
          <w:rFonts w:ascii="Aptos" w:hAnsi="Aptos"/>
          <w:i/>
          <w:iCs/>
          <w:color w:val="212121"/>
        </w:rPr>
        <w:t>The Events Industry</w:t>
      </w:r>
      <w:r>
        <w:rPr>
          <w:rStyle w:val="apple-converted-space"/>
          <w:rFonts w:ascii="Aptos" w:hAnsi="Aptos"/>
          <w:i/>
          <w:iCs/>
          <w:color w:val="212121"/>
        </w:rPr>
        <w:t> </w:t>
      </w:r>
      <w:r>
        <w:rPr>
          <w:rFonts w:ascii="Aptos" w:hAnsi="Aptos"/>
          <w:i/>
          <w:iCs/>
          <w:color w:val="212121"/>
        </w:rPr>
        <w:t>Forum and EIF Ltd, which publishes the Purple Guide, are inviting proposals for an independent organisation or individual to undertake a comprehensive governance review of both organisations to ensure they are appropriately structured for the future.    Those undertaking this work must be reputable and be able to demonstrate experience in undertaking similar projects.    The following is the brief:</w:t>
      </w:r>
    </w:p>
    <w:p w14:paraId="23D4632C" w14:textId="7B99ADBB" w:rsidR="00C606A0" w:rsidRPr="00C606A0" w:rsidRDefault="00C606A0" w:rsidP="00C606A0">
      <w:pPr>
        <w:rPr>
          <w:b/>
          <w:bCs/>
        </w:rPr>
      </w:pPr>
      <w:r w:rsidRPr="00C606A0">
        <w:rPr>
          <w:b/>
          <w:bCs/>
        </w:rPr>
        <w:t>1. Current Structure of the Event Industry Forum (Grounded Review)</w:t>
      </w:r>
    </w:p>
    <w:p w14:paraId="25ED678D" w14:textId="77777777" w:rsidR="00C606A0" w:rsidRPr="00C606A0" w:rsidRDefault="00C606A0" w:rsidP="00C606A0">
      <w:pPr>
        <w:rPr>
          <w:b/>
          <w:bCs/>
        </w:rPr>
      </w:pPr>
      <w:r w:rsidRPr="00C606A0">
        <w:rPr>
          <w:b/>
          <w:bCs/>
        </w:rPr>
        <w:t>1.1 The Event Industry Forum (unincorporated)</w:t>
      </w:r>
    </w:p>
    <w:p w14:paraId="1FAA5A86" w14:textId="08FBCBF2" w:rsidR="00C606A0" w:rsidRPr="00C606A0" w:rsidRDefault="00C606A0" w:rsidP="00C606A0">
      <w:pPr>
        <w:numPr>
          <w:ilvl w:val="0"/>
          <w:numId w:val="1"/>
        </w:numPr>
      </w:pPr>
      <w:r w:rsidRPr="00C606A0">
        <w:t xml:space="preserve">The Event Industry Forum operates as an </w:t>
      </w:r>
      <w:r w:rsidRPr="00C606A0">
        <w:rPr>
          <w:b/>
          <w:bCs/>
        </w:rPr>
        <w:t>informal, unincorporated body</w:t>
      </w:r>
      <w:r w:rsidRPr="00C606A0">
        <w:t xml:space="preserve"> bringing together trade bodies, enforcement agencies, and representative organisations across the UK events industry. </w:t>
      </w:r>
    </w:p>
    <w:p w14:paraId="655F9966" w14:textId="3ECBBABC" w:rsidR="00C606A0" w:rsidRPr="00C606A0" w:rsidRDefault="00C606A0" w:rsidP="00C606A0">
      <w:pPr>
        <w:numPr>
          <w:ilvl w:val="0"/>
          <w:numId w:val="1"/>
        </w:numPr>
      </w:pPr>
      <w:r w:rsidRPr="00C606A0">
        <w:t xml:space="preserve">It </w:t>
      </w:r>
      <w:r w:rsidRPr="00C606A0">
        <w:rPr>
          <w:b/>
          <w:bCs/>
        </w:rPr>
        <w:t>has no formal legal structure or membership</w:t>
      </w:r>
      <w:r w:rsidRPr="00C606A0">
        <w:t xml:space="preserve"> and exists primarily as a convening and collaborative forum acting “in the interests of the industry as a whole”. </w:t>
      </w:r>
    </w:p>
    <w:p w14:paraId="1F8CCC47" w14:textId="0DFE930D" w:rsidR="00C606A0" w:rsidRPr="00C606A0" w:rsidRDefault="00C606A0" w:rsidP="00C606A0">
      <w:pPr>
        <w:numPr>
          <w:ilvl w:val="0"/>
          <w:numId w:val="1"/>
        </w:numPr>
      </w:pPr>
      <w:r w:rsidRPr="00C606A0">
        <w:t xml:space="preserve">Decision-making, accountability, and authority are therefore </w:t>
      </w:r>
      <w:r w:rsidRPr="00C606A0">
        <w:rPr>
          <w:b/>
          <w:bCs/>
        </w:rPr>
        <w:t>not underpinned by a separate legal personality</w:t>
      </w:r>
      <w:r w:rsidRPr="00C606A0">
        <w:t xml:space="preserve">, relying instead on informal arrangements between participating bodies. </w:t>
      </w:r>
    </w:p>
    <w:p w14:paraId="77857AAF" w14:textId="7A5C174F" w:rsidR="00C606A0" w:rsidRPr="00C606A0" w:rsidRDefault="00C606A0" w:rsidP="00C606A0">
      <w:pPr>
        <w:numPr>
          <w:ilvl w:val="0"/>
          <w:numId w:val="1"/>
        </w:numPr>
      </w:pPr>
      <w:r w:rsidRPr="00C606A0">
        <w:t xml:space="preserve">This creates inherent </w:t>
      </w:r>
      <w:r w:rsidRPr="00C606A0">
        <w:rPr>
          <w:b/>
          <w:bCs/>
        </w:rPr>
        <w:t>governance and liability risks</w:t>
      </w:r>
      <w:r w:rsidRPr="00C606A0">
        <w:t xml:space="preserve">, particularly where the Forum engages in activity that may be perceived externally as representative, authoritative, or regulatory-adjacent (e.g. engagement with regulators or Primary Authorities). </w:t>
      </w:r>
    </w:p>
    <w:p w14:paraId="56C082EF" w14:textId="77777777" w:rsidR="00C606A0" w:rsidRPr="00C606A0" w:rsidRDefault="00C606A0" w:rsidP="00C606A0">
      <w:pPr>
        <w:rPr>
          <w:b/>
          <w:bCs/>
        </w:rPr>
      </w:pPr>
      <w:r w:rsidRPr="00C606A0">
        <w:rPr>
          <w:b/>
          <w:bCs/>
        </w:rPr>
        <w:t>1.2 Event Industry Forum Ltd (EIF Ltd)</w:t>
      </w:r>
    </w:p>
    <w:p w14:paraId="326BF24D" w14:textId="5D08683B" w:rsidR="00C606A0" w:rsidRPr="00C606A0" w:rsidRDefault="00C606A0" w:rsidP="00C606A0">
      <w:pPr>
        <w:numPr>
          <w:ilvl w:val="0"/>
          <w:numId w:val="2"/>
        </w:numPr>
      </w:pPr>
      <w:r w:rsidRPr="00C606A0">
        <w:t xml:space="preserve">EIF Ltd is a </w:t>
      </w:r>
      <w:r w:rsidRPr="00C606A0">
        <w:rPr>
          <w:b/>
          <w:bCs/>
        </w:rPr>
        <w:t>separate limited company</w:t>
      </w:r>
      <w:r w:rsidRPr="00C606A0">
        <w:t xml:space="preserve"> established to manage and publish </w:t>
      </w:r>
      <w:r w:rsidRPr="00C606A0">
        <w:rPr>
          <w:i/>
          <w:iCs/>
        </w:rPr>
        <w:t>The Purple Guide</w:t>
      </w:r>
      <w:r w:rsidRPr="00C606A0">
        <w:t xml:space="preserve">, following the transfer of publication responsibility from the Health &amp; Safety Executive in 2013. </w:t>
      </w:r>
    </w:p>
    <w:p w14:paraId="723B47E4" w14:textId="24311B2C" w:rsidR="00C606A0" w:rsidRPr="00C606A0" w:rsidRDefault="00C606A0" w:rsidP="00C606A0">
      <w:pPr>
        <w:numPr>
          <w:ilvl w:val="0"/>
          <w:numId w:val="2"/>
        </w:numPr>
      </w:pPr>
      <w:r w:rsidRPr="00C606A0">
        <w:t xml:space="preserve">The company generates income through subscriptions and reinvests surplus into grants, research, and industry projects, operating on a </w:t>
      </w:r>
      <w:r w:rsidRPr="00C606A0">
        <w:rPr>
          <w:b/>
          <w:bCs/>
        </w:rPr>
        <w:t>not</w:t>
      </w:r>
      <w:r w:rsidR="71363BFF" w:rsidRPr="756AF803">
        <w:rPr>
          <w:b/>
          <w:bCs/>
        </w:rPr>
        <w:t>-</w:t>
      </w:r>
      <w:r w:rsidRPr="00C606A0">
        <w:rPr>
          <w:b/>
          <w:bCs/>
        </w:rPr>
        <w:t>for</w:t>
      </w:r>
      <w:r w:rsidR="71363BFF" w:rsidRPr="756AF803">
        <w:rPr>
          <w:b/>
          <w:bCs/>
        </w:rPr>
        <w:t>-</w:t>
      </w:r>
      <w:r w:rsidRPr="00C606A0">
        <w:rPr>
          <w:b/>
          <w:bCs/>
        </w:rPr>
        <w:t>profit basis</w:t>
      </w:r>
      <w:r w:rsidRPr="00C606A0">
        <w:t xml:space="preserve">, albeit within a company structure. </w:t>
      </w:r>
    </w:p>
    <w:p w14:paraId="6741E073" w14:textId="5B2939CA" w:rsidR="00C606A0" w:rsidRPr="00C606A0" w:rsidRDefault="00C606A0" w:rsidP="00C606A0">
      <w:pPr>
        <w:numPr>
          <w:ilvl w:val="0"/>
          <w:numId w:val="2"/>
        </w:numPr>
      </w:pPr>
      <w:r w:rsidRPr="00C606A0">
        <w:t xml:space="preserve">EIF Ltd has a </w:t>
      </w:r>
      <w:r w:rsidRPr="00C606A0">
        <w:rPr>
          <w:b/>
          <w:bCs/>
        </w:rPr>
        <w:t>formal board structure</w:t>
      </w:r>
      <w:r w:rsidRPr="00C606A0">
        <w:t xml:space="preserve"> drawn from industry bodies, though public commentary has raised questions about representativeness, mandate, voting rights, and compliance with Articles of Association. </w:t>
      </w:r>
    </w:p>
    <w:p w14:paraId="654C87E6" w14:textId="579AEE72" w:rsidR="00C606A0" w:rsidRPr="00C606A0" w:rsidRDefault="00C606A0" w:rsidP="00C606A0">
      <w:pPr>
        <w:numPr>
          <w:ilvl w:val="0"/>
          <w:numId w:val="2"/>
        </w:numPr>
      </w:pPr>
      <w:r w:rsidRPr="00C606A0">
        <w:t xml:space="preserve">The relationship between EIF Ltd and the unincorporated Forum is </w:t>
      </w:r>
      <w:r w:rsidRPr="00C606A0">
        <w:rPr>
          <w:b/>
          <w:bCs/>
        </w:rPr>
        <w:t>close but not always clearly delineated</w:t>
      </w:r>
      <w:r w:rsidRPr="00C606A0">
        <w:t xml:space="preserve">, particularly in terms of authority, accountability, and external representation. </w:t>
      </w:r>
    </w:p>
    <w:p w14:paraId="44066084" w14:textId="77777777" w:rsidR="00C606A0" w:rsidRPr="00C606A0" w:rsidRDefault="00C606A0" w:rsidP="00C606A0">
      <w:pPr>
        <w:rPr>
          <w:b/>
          <w:bCs/>
        </w:rPr>
      </w:pPr>
      <w:r w:rsidRPr="00C606A0">
        <w:rPr>
          <w:b/>
          <w:bCs/>
        </w:rPr>
        <w:lastRenderedPageBreak/>
        <w:t>1.3 Structural Tension (Key Issue)</w:t>
      </w:r>
    </w:p>
    <w:p w14:paraId="43B17940" w14:textId="77777777" w:rsidR="00C606A0" w:rsidRPr="00C606A0" w:rsidRDefault="00C606A0" w:rsidP="00C606A0">
      <w:pPr>
        <w:numPr>
          <w:ilvl w:val="0"/>
          <w:numId w:val="3"/>
        </w:numPr>
      </w:pPr>
      <w:r w:rsidRPr="00C606A0">
        <w:t>EIF Ltd holds assets, contracts, income, and legal risk.</w:t>
      </w:r>
    </w:p>
    <w:p w14:paraId="0A85692A" w14:textId="77777777" w:rsidR="00C606A0" w:rsidRPr="00C606A0" w:rsidRDefault="00C606A0" w:rsidP="00C606A0">
      <w:pPr>
        <w:numPr>
          <w:ilvl w:val="0"/>
          <w:numId w:val="3"/>
        </w:numPr>
      </w:pPr>
      <w:r w:rsidRPr="00C606A0">
        <w:t>The unincorporated Forum provides legitimacy, industry voice, and strategic direction.</w:t>
      </w:r>
    </w:p>
    <w:p w14:paraId="3B202CBA" w14:textId="77777777" w:rsidR="00C606A0" w:rsidRPr="00C606A0" w:rsidRDefault="00C606A0" w:rsidP="00C606A0">
      <w:pPr>
        <w:numPr>
          <w:ilvl w:val="0"/>
          <w:numId w:val="3"/>
        </w:numPr>
      </w:pPr>
      <w:r w:rsidRPr="00C606A0">
        <w:t xml:space="preserve">The absence of a </w:t>
      </w:r>
      <w:r w:rsidRPr="00C606A0">
        <w:rPr>
          <w:b/>
          <w:bCs/>
        </w:rPr>
        <w:t>single, coherent governance framework</w:t>
      </w:r>
      <w:r w:rsidRPr="00C606A0">
        <w:t xml:space="preserve"> across both entities creates ambiguity over: </w:t>
      </w:r>
    </w:p>
    <w:p w14:paraId="5C60A573" w14:textId="77777777" w:rsidR="00C606A0" w:rsidRPr="00C606A0" w:rsidRDefault="00C606A0" w:rsidP="00C606A0">
      <w:pPr>
        <w:numPr>
          <w:ilvl w:val="1"/>
          <w:numId w:val="3"/>
        </w:numPr>
      </w:pPr>
      <w:r w:rsidRPr="00C606A0">
        <w:t>Mandate and authority</w:t>
      </w:r>
    </w:p>
    <w:p w14:paraId="02B80A5E" w14:textId="77777777" w:rsidR="00C606A0" w:rsidRPr="00C606A0" w:rsidRDefault="00C606A0" w:rsidP="00C606A0">
      <w:pPr>
        <w:numPr>
          <w:ilvl w:val="1"/>
          <w:numId w:val="3"/>
        </w:numPr>
      </w:pPr>
      <w:r w:rsidRPr="00C606A0">
        <w:t>Accountability to the wider industry</w:t>
      </w:r>
    </w:p>
    <w:p w14:paraId="6972669A" w14:textId="77777777" w:rsidR="00C606A0" w:rsidRPr="00C606A0" w:rsidRDefault="00C606A0" w:rsidP="00C606A0">
      <w:pPr>
        <w:numPr>
          <w:ilvl w:val="1"/>
          <w:numId w:val="3"/>
        </w:numPr>
      </w:pPr>
      <w:r w:rsidRPr="00C606A0">
        <w:t>Risk and liability exposure</w:t>
      </w:r>
    </w:p>
    <w:p w14:paraId="64D71376" w14:textId="55EBDAB4" w:rsidR="00C606A0" w:rsidRPr="00C606A0" w:rsidRDefault="00C606A0" w:rsidP="00C606A0">
      <w:pPr>
        <w:numPr>
          <w:ilvl w:val="1"/>
          <w:numId w:val="3"/>
        </w:numPr>
      </w:pPr>
      <w:r w:rsidRPr="00C606A0">
        <w:t>Regulatory and public</w:t>
      </w:r>
      <w:r w:rsidR="2A488AC4">
        <w:t xml:space="preserve"> </w:t>
      </w:r>
      <w:r w:rsidRPr="00C606A0">
        <w:t>interest confidence</w:t>
      </w:r>
    </w:p>
    <w:p w14:paraId="2A128DD4" w14:textId="1AA84CD1" w:rsidR="00C606A0" w:rsidRPr="00C606A0" w:rsidRDefault="00C606A0" w:rsidP="00C606A0">
      <w:r w:rsidRPr="00C606A0">
        <w:t xml:space="preserve">This context strongly supports the case for an </w:t>
      </w:r>
      <w:r w:rsidRPr="00C606A0">
        <w:rPr>
          <w:b/>
          <w:bCs/>
        </w:rPr>
        <w:t>independent, end</w:t>
      </w:r>
      <w:r w:rsidR="75539252" w:rsidRPr="756AF803">
        <w:rPr>
          <w:b/>
          <w:bCs/>
        </w:rPr>
        <w:t>-</w:t>
      </w:r>
      <w:r w:rsidRPr="00C606A0">
        <w:rPr>
          <w:b/>
          <w:bCs/>
        </w:rPr>
        <w:t>to</w:t>
      </w:r>
      <w:r w:rsidR="75539252" w:rsidRPr="756AF803">
        <w:rPr>
          <w:b/>
          <w:bCs/>
        </w:rPr>
        <w:t>-</w:t>
      </w:r>
      <w:r w:rsidRPr="00C606A0">
        <w:rPr>
          <w:b/>
          <w:bCs/>
        </w:rPr>
        <w:t>end governance review</w:t>
      </w:r>
      <w:r w:rsidRPr="00C606A0">
        <w:t>.</w:t>
      </w:r>
    </w:p>
    <w:p w14:paraId="24D7D070" w14:textId="77777777" w:rsidR="00C606A0" w:rsidRPr="00C606A0" w:rsidRDefault="00AC734F" w:rsidP="00C606A0">
      <w:r>
        <w:pict w14:anchorId="73460FAE">
          <v:rect id="Horizontal Line 1" o:spid="_x0000_s1032"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6642B0A" w14:textId="77777777" w:rsidR="00C606A0" w:rsidRPr="00C606A0" w:rsidRDefault="00C606A0" w:rsidP="00C606A0">
      <w:pPr>
        <w:rPr>
          <w:b/>
          <w:bCs/>
        </w:rPr>
      </w:pPr>
      <w:r w:rsidRPr="00C606A0">
        <w:rPr>
          <w:b/>
          <w:bCs/>
        </w:rPr>
        <w:t>2. Draft Tender Brief</w:t>
      </w:r>
    </w:p>
    <w:p w14:paraId="4BD3C3A6" w14:textId="77777777" w:rsidR="00C606A0" w:rsidRPr="00C606A0" w:rsidRDefault="00C606A0" w:rsidP="00C606A0">
      <w:r w:rsidRPr="00C606A0">
        <w:rPr>
          <w:b/>
          <w:bCs/>
        </w:rPr>
        <w:t>External Governance Review of the Event Industry Forum Ltd and the Event Industry Forum</w:t>
      </w:r>
    </w:p>
    <w:p w14:paraId="160586CE" w14:textId="77777777" w:rsidR="00C606A0" w:rsidRPr="00C606A0" w:rsidRDefault="00C606A0" w:rsidP="00C606A0">
      <w:pPr>
        <w:rPr>
          <w:b/>
          <w:bCs/>
        </w:rPr>
      </w:pPr>
      <w:r w:rsidRPr="00C606A0">
        <w:rPr>
          <w:b/>
          <w:bCs/>
        </w:rPr>
        <w:t>2.1 Background and Context</w:t>
      </w:r>
    </w:p>
    <w:p w14:paraId="6D115BF5" w14:textId="6A6A1F62" w:rsidR="00C606A0" w:rsidRPr="00C606A0" w:rsidRDefault="00C606A0" w:rsidP="00C606A0">
      <w:r w:rsidRPr="00C606A0">
        <w:t xml:space="preserve">The Event Industry Forum (EIF) plays a nationally significant role in the UK outdoor and live events sector, including the publication of </w:t>
      </w:r>
      <w:r w:rsidRPr="00C606A0">
        <w:rPr>
          <w:i/>
          <w:iCs/>
        </w:rPr>
        <w:t>The Purple Guide</w:t>
      </w:r>
      <w:r w:rsidRPr="00C606A0">
        <w:t xml:space="preserve"> and the facilitation of cross</w:t>
      </w:r>
      <w:r w:rsidR="05A11DC2">
        <w:t xml:space="preserve"> </w:t>
      </w:r>
      <w:r w:rsidRPr="00C606A0">
        <w:t xml:space="preserve">sector collaboration between industry bodies, regulators, and enforcement agencies. </w:t>
      </w:r>
    </w:p>
    <w:p w14:paraId="4E01BF03" w14:textId="77777777" w:rsidR="00C606A0" w:rsidRPr="00C606A0" w:rsidRDefault="00C606A0" w:rsidP="00C606A0">
      <w:r w:rsidRPr="00C606A0">
        <w:t>The current operating model comprises:</w:t>
      </w:r>
    </w:p>
    <w:p w14:paraId="3409BD6B" w14:textId="77777777" w:rsidR="00C606A0" w:rsidRPr="00C606A0" w:rsidRDefault="00C606A0" w:rsidP="00C606A0">
      <w:pPr>
        <w:numPr>
          <w:ilvl w:val="0"/>
          <w:numId w:val="4"/>
        </w:numPr>
      </w:pPr>
      <w:r w:rsidRPr="00C606A0">
        <w:rPr>
          <w:b/>
          <w:bCs/>
        </w:rPr>
        <w:t>Event Industry Forum Ltd</w:t>
      </w:r>
      <w:r w:rsidRPr="00C606A0">
        <w:t xml:space="preserve">, a limited company responsible for publishing and managing </w:t>
      </w:r>
      <w:r w:rsidRPr="00C606A0">
        <w:rPr>
          <w:i/>
          <w:iCs/>
        </w:rPr>
        <w:t>The Purple Guide</w:t>
      </w:r>
      <w:r w:rsidRPr="00C606A0">
        <w:t xml:space="preserve"> and associated income and activities.</w:t>
      </w:r>
    </w:p>
    <w:p w14:paraId="74B477DA" w14:textId="77777777" w:rsidR="00C606A0" w:rsidRPr="00C606A0" w:rsidRDefault="00C606A0" w:rsidP="00C606A0">
      <w:pPr>
        <w:numPr>
          <w:ilvl w:val="0"/>
          <w:numId w:val="4"/>
        </w:numPr>
      </w:pPr>
      <w:r w:rsidRPr="00C606A0">
        <w:rPr>
          <w:b/>
          <w:bCs/>
        </w:rPr>
        <w:t>The Event Industry Forum</w:t>
      </w:r>
      <w:r w:rsidRPr="00C606A0">
        <w:t>, an unincorporated partnership or association that convenes representative bodies and provides strategic direction and industry coordination.</w:t>
      </w:r>
    </w:p>
    <w:p w14:paraId="4A66D90F" w14:textId="77777777" w:rsidR="00C606A0" w:rsidRPr="00C606A0" w:rsidRDefault="00C606A0" w:rsidP="00C606A0">
      <w:r w:rsidRPr="00C606A0">
        <w:t xml:space="preserve">Recognising the increasing complexity, visibility, and regulatory interaction of EIF activities, the commissioning body seeks an </w:t>
      </w:r>
      <w:r w:rsidRPr="00C606A0">
        <w:rPr>
          <w:b/>
          <w:bCs/>
        </w:rPr>
        <w:t>independent, comprehensive governance review</w:t>
      </w:r>
      <w:r w:rsidRPr="00C606A0">
        <w:t xml:space="preserve"> of both entities.</w:t>
      </w:r>
    </w:p>
    <w:p w14:paraId="66A1FFD2" w14:textId="77777777" w:rsidR="00C606A0" w:rsidRPr="00C606A0" w:rsidRDefault="00AC734F" w:rsidP="00C606A0">
      <w:r>
        <w:pict w14:anchorId="1459BA30">
          <v:rect id="Horizontal Line 2" o:spid="_x0000_s1031"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FE0004A" w14:textId="77777777" w:rsidR="00C606A0" w:rsidRPr="00C606A0" w:rsidRDefault="00C606A0" w:rsidP="00C606A0">
      <w:pPr>
        <w:rPr>
          <w:b/>
          <w:bCs/>
        </w:rPr>
      </w:pPr>
      <w:r w:rsidRPr="00C606A0">
        <w:rPr>
          <w:b/>
          <w:bCs/>
        </w:rPr>
        <w:t>2.2 Purpose of the Review</w:t>
      </w:r>
    </w:p>
    <w:p w14:paraId="7F781163" w14:textId="77777777" w:rsidR="00C606A0" w:rsidRPr="00C606A0" w:rsidRDefault="00C606A0" w:rsidP="00C606A0">
      <w:r w:rsidRPr="00C606A0">
        <w:lastRenderedPageBreak/>
        <w:t>The purpose of this commission is to:</w:t>
      </w:r>
    </w:p>
    <w:p w14:paraId="3C400291" w14:textId="77777777" w:rsidR="00C606A0" w:rsidRPr="00C606A0" w:rsidRDefault="00C606A0" w:rsidP="00C606A0">
      <w:pPr>
        <w:numPr>
          <w:ilvl w:val="0"/>
          <w:numId w:val="5"/>
        </w:numPr>
      </w:pPr>
      <w:r w:rsidRPr="00C606A0">
        <w:t xml:space="preserve">Assess the </w:t>
      </w:r>
      <w:r w:rsidRPr="00C606A0">
        <w:rPr>
          <w:b/>
          <w:bCs/>
        </w:rPr>
        <w:t>effectiveness, robustness, and transparency</w:t>
      </w:r>
      <w:r w:rsidRPr="00C606A0">
        <w:t xml:space="preserve"> of current governance arrangements.</w:t>
      </w:r>
    </w:p>
    <w:p w14:paraId="7EAF5B66" w14:textId="77777777" w:rsidR="00C606A0" w:rsidRPr="00C606A0" w:rsidRDefault="00C606A0" w:rsidP="00C606A0">
      <w:pPr>
        <w:numPr>
          <w:ilvl w:val="0"/>
          <w:numId w:val="5"/>
        </w:numPr>
      </w:pPr>
      <w:r w:rsidRPr="00C606A0">
        <w:t>Clarify roles, responsibilities, authority, and accountability between EIF Ltd and the unincorporated Forum.</w:t>
      </w:r>
    </w:p>
    <w:p w14:paraId="28525962" w14:textId="77777777" w:rsidR="00C606A0" w:rsidRPr="00C606A0" w:rsidRDefault="00C606A0" w:rsidP="00C606A0">
      <w:pPr>
        <w:numPr>
          <w:ilvl w:val="0"/>
          <w:numId w:val="5"/>
        </w:numPr>
      </w:pPr>
      <w:r w:rsidRPr="00C606A0">
        <w:t>Identify governance, legal, financial, and reputational risks.</w:t>
      </w:r>
    </w:p>
    <w:p w14:paraId="7A3BCBDB" w14:textId="77777777" w:rsidR="00C606A0" w:rsidRPr="00C606A0" w:rsidRDefault="00C606A0" w:rsidP="00C606A0">
      <w:pPr>
        <w:numPr>
          <w:ilvl w:val="0"/>
          <w:numId w:val="5"/>
        </w:numPr>
      </w:pPr>
      <w:r w:rsidRPr="00C606A0">
        <w:t xml:space="preserve">Explore </w:t>
      </w:r>
      <w:r w:rsidRPr="00C606A0">
        <w:rPr>
          <w:b/>
          <w:bCs/>
        </w:rPr>
        <w:t>alternative governance and legal structures</w:t>
      </w:r>
      <w:r w:rsidRPr="00C606A0">
        <w:t xml:space="preserve">, up to and including: </w:t>
      </w:r>
    </w:p>
    <w:p w14:paraId="630886CB" w14:textId="77777777" w:rsidR="00C606A0" w:rsidRPr="00C606A0" w:rsidRDefault="00C606A0" w:rsidP="00C606A0">
      <w:pPr>
        <w:numPr>
          <w:ilvl w:val="1"/>
          <w:numId w:val="5"/>
        </w:numPr>
      </w:pPr>
      <w:r w:rsidRPr="00C606A0">
        <w:t>Charitable status</w:t>
      </w:r>
    </w:p>
    <w:p w14:paraId="59280BDC" w14:textId="77777777" w:rsidR="00C606A0" w:rsidRPr="00C606A0" w:rsidRDefault="00C606A0" w:rsidP="00C606A0">
      <w:pPr>
        <w:numPr>
          <w:ilvl w:val="1"/>
          <w:numId w:val="5"/>
        </w:numPr>
      </w:pPr>
      <w:r w:rsidRPr="00C606A0">
        <w:t>Community Interest Company (CIC)</w:t>
      </w:r>
    </w:p>
    <w:p w14:paraId="705BE943" w14:textId="77777777" w:rsidR="00C606A0" w:rsidRPr="00C606A0" w:rsidRDefault="00C606A0" w:rsidP="00C606A0">
      <w:pPr>
        <w:numPr>
          <w:ilvl w:val="1"/>
          <w:numId w:val="5"/>
        </w:numPr>
      </w:pPr>
      <w:r w:rsidRPr="00C606A0">
        <w:t>Charitable Incorporated Organisation (CIO)</w:t>
      </w:r>
    </w:p>
    <w:p w14:paraId="1110903A" w14:textId="77777777" w:rsidR="00C606A0" w:rsidRPr="00C606A0" w:rsidRDefault="00C606A0" w:rsidP="00C606A0">
      <w:pPr>
        <w:numPr>
          <w:ilvl w:val="1"/>
          <w:numId w:val="5"/>
        </w:numPr>
      </w:pPr>
      <w:r w:rsidRPr="00C606A0">
        <w:t>Revised or hybrid models retaining a limited company with enhanced oversight</w:t>
      </w:r>
    </w:p>
    <w:p w14:paraId="4379AF4D" w14:textId="44E88FE8" w:rsidR="00C606A0" w:rsidRPr="00C606A0" w:rsidRDefault="00C606A0" w:rsidP="00C606A0">
      <w:pPr>
        <w:numPr>
          <w:ilvl w:val="0"/>
          <w:numId w:val="5"/>
        </w:numPr>
      </w:pPr>
      <w:r w:rsidRPr="00C606A0">
        <w:t xml:space="preserve">Provide </w:t>
      </w:r>
      <w:r w:rsidRPr="00C606A0">
        <w:rPr>
          <w:b/>
          <w:bCs/>
        </w:rPr>
        <w:t>clear, implementable recommendations</w:t>
      </w:r>
      <w:r w:rsidRPr="00C606A0">
        <w:t xml:space="preserve"> to support long</w:t>
      </w:r>
      <w:r w:rsidR="1212BF0D">
        <w:t>-</w:t>
      </w:r>
      <w:r w:rsidRPr="00C606A0">
        <w:t>term sustainability, credibility, and public confidence.</w:t>
      </w:r>
    </w:p>
    <w:p w14:paraId="2E46F996" w14:textId="77777777" w:rsidR="00C606A0" w:rsidRPr="00C606A0" w:rsidRDefault="00AC734F" w:rsidP="00C606A0">
      <w:r>
        <w:pict w14:anchorId="753446A5">
          <v:rect id="Horizontal Line 3" o:spid="_x0000_s1030"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3E1B672" w14:textId="77777777" w:rsidR="00C606A0" w:rsidRPr="00C606A0" w:rsidRDefault="00C606A0" w:rsidP="00C606A0">
      <w:pPr>
        <w:rPr>
          <w:b/>
          <w:bCs/>
        </w:rPr>
      </w:pPr>
      <w:r w:rsidRPr="00C606A0">
        <w:rPr>
          <w:b/>
          <w:bCs/>
        </w:rPr>
        <w:t>2.3 Scope of Work</w:t>
      </w:r>
    </w:p>
    <w:p w14:paraId="35213424" w14:textId="77777777" w:rsidR="00C606A0" w:rsidRPr="00C606A0" w:rsidRDefault="00C606A0" w:rsidP="00C606A0">
      <w:pPr>
        <w:rPr>
          <w:b/>
          <w:bCs/>
        </w:rPr>
      </w:pPr>
      <w:r w:rsidRPr="00C606A0">
        <w:rPr>
          <w:b/>
          <w:bCs/>
        </w:rPr>
        <w:t>A. Governance Review – Current State</w:t>
      </w:r>
    </w:p>
    <w:p w14:paraId="55DA2550" w14:textId="77777777" w:rsidR="00C606A0" w:rsidRPr="00C606A0" w:rsidRDefault="00C606A0" w:rsidP="00C606A0">
      <w:r w:rsidRPr="00C606A0">
        <w:t>The successful bidder will be expected to:</w:t>
      </w:r>
    </w:p>
    <w:p w14:paraId="2CD65EE8" w14:textId="77777777" w:rsidR="00C606A0" w:rsidRPr="00C606A0" w:rsidRDefault="00C606A0" w:rsidP="00C606A0">
      <w:pPr>
        <w:numPr>
          <w:ilvl w:val="0"/>
          <w:numId w:val="6"/>
        </w:numPr>
      </w:pPr>
      <w:r w:rsidRPr="00C606A0">
        <w:t>Review constitutional documents, Articles of Association, terms of reference, and informal governance arrangements.</w:t>
      </w:r>
    </w:p>
    <w:p w14:paraId="3703B2E3" w14:textId="1BF38D3C" w:rsidR="00C606A0" w:rsidRPr="00C606A0" w:rsidRDefault="00C606A0" w:rsidP="00C606A0">
      <w:pPr>
        <w:numPr>
          <w:ilvl w:val="0"/>
          <w:numId w:val="6"/>
        </w:numPr>
      </w:pPr>
      <w:r w:rsidRPr="00C606A0">
        <w:t>Examine board composition, appointment processes, voting rights, and decision</w:t>
      </w:r>
      <w:r w:rsidR="09A79EBF">
        <w:t>-</w:t>
      </w:r>
      <w:r w:rsidRPr="00C606A0">
        <w:t>making mechanisms.</w:t>
      </w:r>
    </w:p>
    <w:p w14:paraId="23F288AE" w14:textId="77777777" w:rsidR="00C606A0" w:rsidRPr="00C606A0" w:rsidRDefault="00C606A0" w:rsidP="00C606A0">
      <w:pPr>
        <w:numPr>
          <w:ilvl w:val="0"/>
          <w:numId w:val="6"/>
        </w:numPr>
      </w:pPr>
      <w:r w:rsidRPr="00C606A0">
        <w:t>Assess compliance with recognised principles of good governance (e.g. transparency, accountability, independence).</w:t>
      </w:r>
    </w:p>
    <w:p w14:paraId="2A72495D" w14:textId="20B4D013" w:rsidR="00C606A0" w:rsidRPr="00C606A0" w:rsidRDefault="00C606A0" w:rsidP="00C606A0">
      <w:pPr>
        <w:numPr>
          <w:ilvl w:val="0"/>
          <w:numId w:val="6"/>
        </w:numPr>
      </w:pPr>
      <w:r w:rsidRPr="00C606A0">
        <w:t>Review financial oversight, reserves policy, and grant</w:t>
      </w:r>
      <w:r w:rsidR="6B33533F">
        <w:t xml:space="preserve"> </w:t>
      </w:r>
      <w:r w:rsidRPr="00C606A0">
        <w:t>making governance.</w:t>
      </w:r>
    </w:p>
    <w:p w14:paraId="7D753991" w14:textId="77777777" w:rsidR="00C606A0" w:rsidRPr="00C606A0" w:rsidRDefault="00C606A0" w:rsidP="00C606A0">
      <w:pPr>
        <w:numPr>
          <w:ilvl w:val="0"/>
          <w:numId w:val="6"/>
        </w:numPr>
      </w:pPr>
      <w:r w:rsidRPr="00C606A0">
        <w:t>Assess conflicts of interest management.</w:t>
      </w:r>
    </w:p>
    <w:p w14:paraId="152E6624" w14:textId="77777777" w:rsidR="00C606A0" w:rsidRPr="00C606A0" w:rsidRDefault="00C606A0" w:rsidP="00C606A0">
      <w:pPr>
        <w:numPr>
          <w:ilvl w:val="0"/>
          <w:numId w:val="6"/>
        </w:numPr>
      </w:pPr>
      <w:r w:rsidRPr="00C606A0">
        <w:t xml:space="preserve">Review the interface between EIF Ltd and the unincorporated Forum, including: </w:t>
      </w:r>
    </w:p>
    <w:p w14:paraId="30112D4C" w14:textId="77777777" w:rsidR="00C606A0" w:rsidRPr="00C606A0" w:rsidRDefault="00C606A0" w:rsidP="00C606A0">
      <w:pPr>
        <w:numPr>
          <w:ilvl w:val="1"/>
          <w:numId w:val="6"/>
        </w:numPr>
      </w:pPr>
      <w:r w:rsidRPr="00C606A0">
        <w:t>Delegated authority</w:t>
      </w:r>
    </w:p>
    <w:p w14:paraId="1E039B9F" w14:textId="77777777" w:rsidR="00C606A0" w:rsidRPr="00C606A0" w:rsidRDefault="00C606A0" w:rsidP="00C606A0">
      <w:pPr>
        <w:numPr>
          <w:ilvl w:val="1"/>
          <w:numId w:val="6"/>
        </w:numPr>
      </w:pPr>
      <w:r w:rsidRPr="00C606A0">
        <w:t>Representation to third parties</w:t>
      </w:r>
    </w:p>
    <w:p w14:paraId="0B75E287" w14:textId="77777777" w:rsidR="00C606A0" w:rsidRPr="00C606A0" w:rsidRDefault="00C606A0" w:rsidP="00C606A0">
      <w:pPr>
        <w:numPr>
          <w:ilvl w:val="1"/>
          <w:numId w:val="6"/>
        </w:numPr>
      </w:pPr>
      <w:r w:rsidRPr="00C606A0">
        <w:t>Use of brand, name, and intellectual property</w:t>
      </w:r>
    </w:p>
    <w:p w14:paraId="44801E9F" w14:textId="77777777" w:rsidR="00C606A0" w:rsidRPr="00C606A0" w:rsidRDefault="00C606A0" w:rsidP="00C606A0">
      <w:pPr>
        <w:rPr>
          <w:b/>
          <w:bCs/>
        </w:rPr>
      </w:pPr>
      <w:r w:rsidRPr="00C606A0">
        <w:rPr>
          <w:b/>
          <w:bCs/>
        </w:rPr>
        <w:lastRenderedPageBreak/>
        <w:t>B. Legal and Structural Risk Assessment</w:t>
      </w:r>
    </w:p>
    <w:p w14:paraId="0223A1D7" w14:textId="77777777" w:rsidR="00C606A0" w:rsidRPr="00C606A0" w:rsidRDefault="00C606A0" w:rsidP="00C606A0">
      <w:pPr>
        <w:numPr>
          <w:ilvl w:val="0"/>
          <w:numId w:val="7"/>
        </w:numPr>
      </w:pPr>
      <w:r w:rsidRPr="00C606A0">
        <w:t xml:space="preserve">Identify risks arising from the unincorporated status of the Forum, including liability and accountability issues. </w:t>
      </w:r>
      <w:hyperlink r:id="rId8" w:history="1">
        <w:r w:rsidRPr="00C606A0">
          <w:rPr>
            <w:rStyle w:val="Hyperlink"/>
          </w:rPr>
          <w:t>[uslawexplained.com]</w:t>
        </w:r>
      </w:hyperlink>
      <w:r w:rsidRPr="00C606A0">
        <w:t xml:space="preserve">, </w:t>
      </w:r>
      <w:hyperlink r:id="rId9" w:history="1">
        <w:r w:rsidRPr="00C606A0">
          <w:rPr>
            <w:rStyle w:val="Hyperlink"/>
          </w:rPr>
          <w:t>[millerthomson.com]</w:t>
        </w:r>
      </w:hyperlink>
    </w:p>
    <w:p w14:paraId="2C04740C" w14:textId="051277D1" w:rsidR="00C606A0" w:rsidRPr="00C606A0" w:rsidRDefault="00C606A0" w:rsidP="00C606A0">
      <w:pPr>
        <w:numPr>
          <w:ilvl w:val="0"/>
          <w:numId w:val="7"/>
        </w:numPr>
      </w:pPr>
      <w:r w:rsidRPr="00C606A0">
        <w:t>Assess risks associated with external representation, regulatory engagement, and public</w:t>
      </w:r>
      <w:r w:rsidR="02C0C460">
        <w:t xml:space="preserve"> </w:t>
      </w:r>
      <w:r w:rsidRPr="00C606A0">
        <w:t>interest activity.</w:t>
      </w:r>
    </w:p>
    <w:p w14:paraId="41E4BA04" w14:textId="77777777" w:rsidR="00C606A0" w:rsidRPr="00C606A0" w:rsidRDefault="00C606A0" w:rsidP="00C606A0">
      <w:pPr>
        <w:numPr>
          <w:ilvl w:val="0"/>
          <w:numId w:val="7"/>
        </w:numPr>
      </w:pPr>
      <w:r w:rsidRPr="00C606A0">
        <w:t>Review insurance, indemnities, and risk mitigation arrangements.</w:t>
      </w:r>
    </w:p>
    <w:p w14:paraId="7EC10B22" w14:textId="77777777" w:rsidR="00C606A0" w:rsidRPr="00C606A0" w:rsidRDefault="00C606A0" w:rsidP="00C606A0">
      <w:pPr>
        <w:rPr>
          <w:b/>
          <w:bCs/>
        </w:rPr>
      </w:pPr>
      <w:r w:rsidRPr="00C606A0">
        <w:rPr>
          <w:b/>
          <w:bCs/>
        </w:rPr>
        <w:t>C. Benchmarking and Best Practice</w:t>
      </w:r>
    </w:p>
    <w:p w14:paraId="4ED515D4" w14:textId="77777777" w:rsidR="00C606A0" w:rsidRPr="00C606A0" w:rsidRDefault="00C606A0" w:rsidP="00C606A0">
      <w:pPr>
        <w:numPr>
          <w:ilvl w:val="0"/>
          <w:numId w:val="8"/>
        </w:numPr>
      </w:pPr>
      <w:r w:rsidRPr="00C606A0">
        <w:t xml:space="preserve">Benchmark EIF governance arrangements against: </w:t>
      </w:r>
    </w:p>
    <w:p w14:paraId="5FB3573B" w14:textId="77777777" w:rsidR="00C606A0" w:rsidRPr="00C606A0" w:rsidRDefault="00C606A0" w:rsidP="00C606A0">
      <w:pPr>
        <w:numPr>
          <w:ilvl w:val="1"/>
          <w:numId w:val="8"/>
        </w:numPr>
      </w:pPr>
      <w:r w:rsidRPr="00C606A0">
        <w:t>Comparable national industry bodies</w:t>
      </w:r>
    </w:p>
    <w:p w14:paraId="7E265DE1" w14:textId="080668D8" w:rsidR="00C606A0" w:rsidRPr="00C606A0" w:rsidRDefault="00C606A0" w:rsidP="00C606A0">
      <w:pPr>
        <w:numPr>
          <w:ilvl w:val="1"/>
          <w:numId w:val="8"/>
        </w:numPr>
      </w:pPr>
      <w:r w:rsidRPr="00C606A0">
        <w:t>Not</w:t>
      </w:r>
      <w:r w:rsidR="6349034A">
        <w:t>-</w:t>
      </w:r>
      <w:r w:rsidRPr="00C606A0">
        <w:t>for</w:t>
      </w:r>
      <w:r w:rsidR="6349034A">
        <w:t>-</w:t>
      </w:r>
      <w:r w:rsidRPr="00C606A0">
        <w:t>profit publishing organisations</w:t>
      </w:r>
    </w:p>
    <w:p w14:paraId="20EC6CB6" w14:textId="77777777" w:rsidR="00C606A0" w:rsidRPr="00C606A0" w:rsidRDefault="00C606A0" w:rsidP="00C606A0">
      <w:pPr>
        <w:numPr>
          <w:ilvl w:val="1"/>
          <w:numId w:val="8"/>
        </w:numPr>
      </w:pPr>
      <w:r w:rsidRPr="00C606A0">
        <w:t>Bodies operating at the interface of industry and regulation</w:t>
      </w:r>
    </w:p>
    <w:p w14:paraId="29135238" w14:textId="77777777" w:rsidR="00C606A0" w:rsidRPr="00C606A0" w:rsidRDefault="00C606A0" w:rsidP="00C606A0">
      <w:pPr>
        <w:numPr>
          <w:ilvl w:val="0"/>
          <w:numId w:val="8"/>
        </w:numPr>
      </w:pPr>
      <w:r w:rsidRPr="00C606A0">
        <w:t xml:space="preserve">Reference established governance guidance where relevant (e.g. major event governance principles). </w:t>
      </w:r>
      <w:hyperlink r:id="rId10" w:history="1">
        <w:r w:rsidRPr="00C606A0">
          <w:rPr>
            <w:rStyle w:val="Hyperlink"/>
          </w:rPr>
          <w:t>[eventimpacts.com]</w:t>
        </w:r>
      </w:hyperlink>
    </w:p>
    <w:p w14:paraId="6545E87C" w14:textId="77777777" w:rsidR="00C606A0" w:rsidRPr="00C606A0" w:rsidRDefault="00C606A0" w:rsidP="00C606A0">
      <w:pPr>
        <w:rPr>
          <w:b/>
          <w:bCs/>
        </w:rPr>
      </w:pPr>
      <w:r w:rsidRPr="00C606A0">
        <w:rPr>
          <w:b/>
          <w:bCs/>
        </w:rPr>
        <w:t>D. Options Appraisal – Future Models</w:t>
      </w:r>
    </w:p>
    <w:p w14:paraId="45F4DB73" w14:textId="77777777" w:rsidR="00C606A0" w:rsidRPr="00C606A0" w:rsidRDefault="00C606A0" w:rsidP="00C606A0">
      <w:r w:rsidRPr="00C606A0">
        <w:t>The review must include a structured options appraisal considering:</w:t>
      </w:r>
    </w:p>
    <w:p w14:paraId="5D93B506" w14:textId="77777777" w:rsidR="00C606A0" w:rsidRPr="00C606A0" w:rsidRDefault="00C606A0" w:rsidP="00C606A0">
      <w:pPr>
        <w:numPr>
          <w:ilvl w:val="0"/>
          <w:numId w:val="9"/>
        </w:numPr>
      </w:pPr>
      <w:r w:rsidRPr="00C606A0">
        <w:t>Status quo with strengthened governance</w:t>
      </w:r>
    </w:p>
    <w:p w14:paraId="069496C0" w14:textId="77777777" w:rsidR="00C606A0" w:rsidRPr="00C606A0" w:rsidRDefault="00C606A0" w:rsidP="00C606A0">
      <w:pPr>
        <w:numPr>
          <w:ilvl w:val="0"/>
          <w:numId w:val="9"/>
        </w:numPr>
      </w:pPr>
      <w:r w:rsidRPr="00C606A0">
        <w:t>Consolidation into a single legal entity</w:t>
      </w:r>
    </w:p>
    <w:p w14:paraId="0D6808FD" w14:textId="77777777" w:rsidR="00C606A0" w:rsidRPr="00C606A0" w:rsidRDefault="00C606A0" w:rsidP="00C606A0">
      <w:pPr>
        <w:numPr>
          <w:ilvl w:val="0"/>
          <w:numId w:val="9"/>
        </w:numPr>
      </w:pPr>
      <w:r w:rsidRPr="00C606A0">
        <w:t xml:space="preserve">Transition to: </w:t>
      </w:r>
    </w:p>
    <w:p w14:paraId="6B2D7F17" w14:textId="77777777" w:rsidR="00C606A0" w:rsidRPr="00C606A0" w:rsidRDefault="00C606A0" w:rsidP="00C606A0">
      <w:pPr>
        <w:numPr>
          <w:ilvl w:val="1"/>
          <w:numId w:val="9"/>
        </w:numPr>
      </w:pPr>
      <w:r w:rsidRPr="00C606A0">
        <w:t>Charity</w:t>
      </w:r>
    </w:p>
    <w:p w14:paraId="4B718380" w14:textId="77777777" w:rsidR="00C606A0" w:rsidRPr="00C606A0" w:rsidRDefault="00C606A0" w:rsidP="00C606A0">
      <w:pPr>
        <w:numPr>
          <w:ilvl w:val="1"/>
          <w:numId w:val="9"/>
        </w:numPr>
      </w:pPr>
      <w:r w:rsidRPr="00C606A0">
        <w:t>CIC</w:t>
      </w:r>
    </w:p>
    <w:p w14:paraId="5CCE9FF0" w14:textId="77777777" w:rsidR="00C606A0" w:rsidRPr="00C606A0" w:rsidRDefault="00C606A0" w:rsidP="00C606A0">
      <w:pPr>
        <w:numPr>
          <w:ilvl w:val="1"/>
          <w:numId w:val="9"/>
        </w:numPr>
      </w:pPr>
      <w:r w:rsidRPr="00C606A0">
        <w:t>CIO</w:t>
      </w:r>
    </w:p>
    <w:p w14:paraId="7DDA9D3D" w14:textId="77777777" w:rsidR="00C606A0" w:rsidRPr="00C606A0" w:rsidRDefault="00C606A0" w:rsidP="00C606A0">
      <w:pPr>
        <w:numPr>
          <w:ilvl w:val="0"/>
          <w:numId w:val="9"/>
        </w:numPr>
      </w:pPr>
      <w:r w:rsidRPr="00C606A0">
        <w:t>Hybrid models (e.g. charitable parent with trading subsidiary)</w:t>
      </w:r>
    </w:p>
    <w:p w14:paraId="46CF324F" w14:textId="77777777" w:rsidR="00C606A0" w:rsidRPr="00C606A0" w:rsidRDefault="00C606A0" w:rsidP="00C606A0">
      <w:r w:rsidRPr="00C606A0">
        <w:t>Each option should assess:</w:t>
      </w:r>
    </w:p>
    <w:p w14:paraId="15C9D200" w14:textId="77777777" w:rsidR="00C606A0" w:rsidRPr="00C606A0" w:rsidRDefault="00C606A0" w:rsidP="00C606A0">
      <w:pPr>
        <w:numPr>
          <w:ilvl w:val="0"/>
          <w:numId w:val="10"/>
        </w:numPr>
      </w:pPr>
      <w:r w:rsidRPr="00C606A0">
        <w:t>Legal and regulatory implications</w:t>
      </w:r>
    </w:p>
    <w:p w14:paraId="7A8A008B" w14:textId="77777777" w:rsidR="00C606A0" w:rsidRPr="00C606A0" w:rsidRDefault="00C606A0" w:rsidP="00C606A0">
      <w:pPr>
        <w:numPr>
          <w:ilvl w:val="0"/>
          <w:numId w:val="10"/>
        </w:numPr>
      </w:pPr>
      <w:r w:rsidRPr="00C606A0">
        <w:t>Financial sustainability</w:t>
      </w:r>
    </w:p>
    <w:p w14:paraId="1B43DDB1" w14:textId="77777777" w:rsidR="00C606A0" w:rsidRPr="00C606A0" w:rsidRDefault="00C606A0" w:rsidP="00C606A0">
      <w:pPr>
        <w:numPr>
          <w:ilvl w:val="0"/>
          <w:numId w:val="10"/>
        </w:numPr>
      </w:pPr>
      <w:r w:rsidRPr="00C606A0">
        <w:t>Industry confidence and representativeness</w:t>
      </w:r>
    </w:p>
    <w:p w14:paraId="159C9942" w14:textId="77777777" w:rsidR="00C606A0" w:rsidRPr="00C606A0" w:rsidRDefault="00C606A0" w:rsidP="00C606A0">
      <w:pPr>
        <w:numPr>
          <w:ilvl w:val="0"/>
          <w:numId w:val="10"/>
        </w:numPr>
      </w:pPr>
      <w:r w:rsidRPr="00C606A0">
        <w:t>Operational impact</w:t>
      </w:r>
    </w:p>
    <w:p w14:paraId="33B0372B" w14:textId="77777777" w:rsidR="00C606A0" w:rsidRPr="00C606A0" w:rsidRDefault="00C606A0" w:rsidP="00C606A0">
      <w:pPr>
        <w:numPr>
          <w:ilvl w:val="0"/>
          <w:numId w:val="10"/>
        </w:numPr>
      </w:pPr>
      <w:r w:rsidRPr="00C606A0">
        <w:t>Transition risks and costs</w:t>
      </w:r>
    </w:p>
    <w:p w14:paraId="0A413D53" w14:textId="77777777" w:rsidR="00C606A0" w:rsidRPr="00C606A0" w:rsidRDefault="00C606A0" w:rsidP="00C606A0">
      <w:pPr>
        <w:rPr>
          <w:b/>
          <w:bCs/>
        </w:rPr>
      </w:pPr>
      <w:r w:rsidRPr="00C606A0">
        <w:rPr>
          <w:b/>
          <w:bCs/>
        </w:rPr>
        <w:t>E. Recommendations and Implementation</w:t>
      </w:r>
    </w:p>
    <w:p w14:paraId="03DA3E52" w14:textId="77777777" w:rsidR="00C606A0" w:rsidRPr="00C606A0" w:rsidRDefault="00C606A0" w:rsidP="00C606A0">
      <w:pPr>
        <w:numPr>
          <w:ilvl w:val="0"/>
          <w:numId w:val="11"/>
        </w:numPr>
      </w:pPr>
      <w:r w:rsidRPr="00C606A0">
        <w:lastRenderedPageBreak/>
        <w:t>Provide a preferred option (or short list) with clear justification.</w:t>
      </w:r>
    </w:p>
    <w:p w14:paraId="669586DC" w14:textId="77777777" w:rsidR="00C606A0" w:rsidRPr="00C606A0" w:rsidRDefault="00C606A0" w:rsidP="00C606A0">
      <w:pPr>
        <w:numPr>
          <w:ilvl w:val="0"/>
          <w:numId w:val="11"/>
        </w:numPr>
      </w:pPr>
      <w:r w:rsidRPr="00C606A0">
        <w:t xml:space="preserve">Set out a </w:t>
      </w:r>
      <w:r w:rsidRPr="00C606A0">
        <w:rPr>
          <w:b/>
          <w:bCs/>
        </w:rPr>
        <w:t>phased implementation roadmap</w:t>
      </w:r>
      <w:r w:rsidRPr="00C606A0">
        <w:t xml:space="preserve">, including: </w:t>
      </w:r>
    </w:p>
    <w:p w14:paraId="1163932C" w14:textId="77777777" w:rsidR="00C606A0" w:rsidRPr="00C606A0" w:rsidRDefault="00C606A0" w:rsidP="00C606A0">
      <w:pPr>
        <w:numPr>
          <w:ilvl w:val="1"/>
          <w:numId w:val="11"/>
        </w:numPr>
      </w:pPr>
      <w:r w:rsidRPr="00C606A0">
        <w:t>Key decisions</w:t>
      </w:r>
    </w:p>
    <w:p w14:paraId="3411AC04" w14:textId="77777777" w:rsidR="00C606A0" w:rsidRPr="00C606A0" w:rsidRDefault="00C606A0" w:rsidP="00C606A0">
      <w:pPr>
        <w:numPr>
          <w:ilvl w:val="1"/>
          <w:numId w:val="11"/>
        </w:numPr>
      </w:pPr>
      <w:r w:rsidRPr="00C606A0">
        <w:t>Transitional governance</w:t>
      </w:r>
    </w:p>
    <w:p w14:paraId="2500F5AA" w14:textId="77777777" w:rsidR="00C606A0" w:rsidRPr="00C606A0" w:rsidRDefault="00C606A0" w:rsidP="00C606A0">
      <w:pPr>
        <w:numPr>
          <w:ilvl w:val="1"/>
          <w:numId w:val="11"/>
        </w:numPr>
      </w:pPr>
      <w:r w:rsidRPr="00C606A0">
        <w:t>Stakeholder engagement</w:t>
      </w:r>
    </w:p>
    <w:p w14:paraId="30DD36ED" w14:textId="77777777" w:rsidR="00C606A0" w:rsidRPr="00C606A0" w:rsidRDefault="00C606A0" w:rsidP="00C606A0">
      <w:pPr>
        <w:numPr>
          <w:ilvl w:val="1"/>
          <w:numId w:val="11"/>
        </w:numPr>
      </w:pPr>
      <w:r w:rsidRPr="00C606A0">
        <w:t>Indicative timescales (without prescribing delivery dates)</w:t>
      </w:r>
    </w:p>
    <w:p w14:paraId="3190F678" w14:textId="77777777" w:rsidR="00C606A0" w:rsidRPr="00C606A0" w:rsidRDefault="00AC734F" w:rsidP="00C606A0">
      <w:r>
        <w:pict w14:anchorId="628C8DF9">
          <v:rect id="Horizontal Line 4" o:spid="_x0000_s1029"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14C214D" w14:textId="77777777" w:rsidR="00C606A0" w:rsidRPr="00C606A0" w:rsidRDefault="00C606A0" w:rsidP="00C606A0">
      <w:pPr>
        <w:rPr>
          <w:b/>
          <w:bCs/>
        </w:rPr>
      </w:pPr>
      <w:r w:rsidRPr="00C606A0">
        <w:rPr>
          <w:b/>
          <w:bCs/>
        </w:rPr>
        <w:t>2.4 Deliverables</w:t>
      </w:r>
    </w:p>
    <w:p w14:paraId="00A65A4C" w14:textId="77777777" w:rsidR="00C606A0" w:rsidRPr="00C606A0" w:rsidRDefault="00C606A0" w:rsidP="00C606A0">
      <w:pPr>
        <w:numPr>
          <w:ilvl w:val="0"/>
          <w:numId w:val="12"/>
        </w:numPr>
      </w:pPr>
      <w:r w:rsidRPr="00C606A0">
        <w:t>Inception report and methodology</w:t>
      </w:r>
    </w:p>
    <w:p w14:paraId="08E2C87D" w14:textId="77777777" w:rsidR="00C606A0" w:rsidRPr="00C606A0" w:rsidRDefault="00C606A0" w:rsidP="00C606A0">
      <w:pPr>
        <w:numPr>
          <w:ilvl w:val="0"/>
          <w:numId w:val="12"/>
        </w:numPr>
      </w:pPr>
      <w:r w:rsidRPr="00C606A0">
        <w:t>Interim findings (optional)</w:t>
      </w:r>
    </w:p>
    <w:p w14:paraId="7F3223B2" w14:textId="77777777" w:rsidR="00C606A0" w:rsidRPr="00C606A0" w:rsidRDefault="00C606A0" w:rsidP="00C606A0">
      <w:pPr>
        <w:numPr>
          <w:ilvl w:val="0"/>
          <w:numId w:val="12"/>
        </w:numPr>
      </w:pPr>
      <w:r w:rsidRPr="00C606A0">
        <w:t>Final written report suitable for board and stakeholder circulation</w:t>
      </w:r>
    </w:p>
    <w:p w14:paraId="41906986" w14:textId="77777777" w:rsidR="00C606A0" w:rsidRPr="00C606A0" w:rsidRDefault="00C606A0" w:rsidP="00C606A0">
      <w:pPr>
        <w:numPr>
          <w:ilvl w:val="0"/>
          <w:numId w:val="12"/>
        </w:numPr>
      </w:pPr>
      <w:r w:rsidRPr="00C606A0">
        <w:t>Executive summary for non</w:t>
      </w:r>
      <w:r w:rsidRPr="00C606A0">
        <w:noBreakHyphen/>
        <w:t>technical audiences</w:t>
      </w:r>
    </w:p>
    <w:p w14:paraId="5C2D13AB" w14:textId="77777777" w:rsidR="00C606A0" w:rsidRPr="00C606A0" w:rsidRDefault="00C606A0" w:rsidP="00C606A0">
      <w:pPr>
        <w:numPr>
          <w:ilvl w:val="0"/>
          <w:numId w:val="12"/>
        </w:numPr>
      </w:pPr>
      <w:r w:rsidRPr="00C606A0">
        <w:t>Optional presentation to board/partners</w:t>
      </w:r>
    </w:p>
    <w:p w14:paraId="485866BB" w14:textId="77777777" w:rsidR="00C606A0" w:rsidRPr="00C606A0" w:rsidRDefault="00AC734F" w:rsidP="00C606A0">
      <w:r>
        <w:pict w14:anchorId="68A7E706">
          <v:rect id="Horizontal Line 5" o:spid="_x0000_s1028"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69E516" w14:textId="77777777" w:rsidR="00C606A0" w:rsidRPr="00C606A0" w:rsidRDefault="00C606A0" w:rsidP="00C606A0">
      <w:pPr>
        <w:rPr>
          <w:b/>
          <w:bCs/>
        </w:rPr>
      </w:pPr>
      <w:r w:rsidRPr="00C606A0">
        <w:rPr>
          <w:b/>
          <w:bCs/>
        </w:rPr>
        <w:t>2.5 Skills and Experience Required</w:t>
      </w:r>
    </w:p>
    <w:p w14:paraId="3386259B" w14:textId="77777777" w:rsidR="00C606A0" w:rsidRPr="00C606A0" w:rsidRDefault="00C606A0" w:rsidP="00C606A0">
      <w:r w:rsidRPr="00C606A0">
        <w:t>Bidders should demonstrate:</w:t>
      </w:r>
    </w:p>
    <w:p w14:paraId="3C5D7005" w14:textId="09E74D20" w:rsidR="00C606A0" w:rsidRPr="00C606A0" w:rsidRDefault="00C606A0" w:rsidP="00C606A0">
      <w:pPr>
        <w:numPr>
          <w:ilvl w:val="0"/>
          <w:numId w:val="13"/>
        </w:numPr>
      </w:pPr>
      <w:r w:rsidRPr="00C606A0">
        <w:t>Proven experience in governance reviews of not</w:t>
      </w:r>
      <w:r w:rsidR="615DB104">
        <w:t>-</w:t>
      </w:r>
      <w:r w:rsidRPr="00C606A0">
        <w:t>for</w:t>
      </w:r>
      <w:r w:rsidR="615DB104">
        <w:t>-</w:t>
      </w:r>
      <w:r w:rsidRPr="00C606A0">
        <w:t>profit, membership, or industry bodies</w:t>
      </w:r>
    </w:p>
    <w:p w14:paraId="679F4FF3" w14:textId="77777777" w:rsidR="00C606A0" w:rsidRPr="00C606A0" w:rsidRDefault="00C606A0" w:rsidP="00C606A0">
      <w:pPr>
        <w:numPr>
          <w:ilvl w:val="0"/>
          <w:numId w:val="13"/>
        </w:numPr>
      </w:pPr>
      <w:r w:rsidRPr="00C606A0">
        <w:t>Expertise in UK company, charity, and CIC law</w:t>
      </w:r>
    </w:p>
    <w:p w14:paraId="65CAF8D6" w14:textId="77777777" w:rsidR="00C606A0" w:rsidRPr="00C606A0" w:rsidRDefault="00C606A0" w:rsidP="00C606A0">
      <w:pPr>
        <w:numPr>
          <w:ilvl w:val="0"/>
          <w:numId w:val="13"/>
        </w:numPr>
      </w:pPr>
      <w:r w:rsidRPr="00C606A0">
        <w:t>Experience of unincorporated associations and governance transition</w:t>
      </w:r>
    </w:p>
    <w:p w14:paraId="36B92899" w14:textId="7B5E2FF1" w:rsidR="00C606A0" w:rsidRPr="00C606A0" w:rsidRDefault="00C606A0" w:rsidP="00C606A0">
      <w:pPr>
        <w:numPr>
          <w:ilvl w:val="0"/>
          <w:numId w:val="13"/>
        </w:numPr>
      </w:pPr>
      <w:r>
        <w:t>Understanding of public</w:t>
      </w:r>
      <w:r w:rsidR="18A2CC0C">
        <w:t xml:space="preserve"> </w:t>
      </w:r>
      <w:r>
        <w:t xml:space="preserve">interest, </w:t>
      </w:r>
      <w:r w:rsidR="7D04AD64">
        <w:t>regulatory adjacent</w:t>
      </w:r>
      <w:r>
        <w:t xml:space="preserve"> organisations</w:t>
      </w:r>
    </w:p>
    <w:p w14:paraId="78573CE9" w14:textId="77777777" w:rsidR="00C606A0" w:rsidRPr="00C606A0" w:rsidRDefault="00C606A0" w:rsidP="00C606A0">
      <w:pPr>
        <w:numPr>
          <w:ilvl w:val="0"/>
          <w:numId w:val="13"/>
        </w:numPr>
      </w:pPr>
      <w:r w:rsidRPr="00C606A0">
        <w:t>Independence from EIF and related bodies</w:t>
      </w:r>
    </w:p>
    <w:p w14:paraId="45C8B3DA" w14:textId="77777777" w:rsidR="00C606A0" w:rsidRPr="00C606A0" w:rsidRDefault="00AC734F" w:rsidP="00C606A0">
      <w:r>
        <w:pict w14:anchorId="5542108F">
          <v:rect id="Horizontal Line 6" o:spid="_x0000_s1027"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FA879C1" w14:textId="77777777" w:rsidR="00C606A0" w:rsidRPr="00C606A0" w:rsidRDefault="00C606A0" w:rsidP="00C606A0">
      <w:pPr>
        <w:rPr>
          <w:b/>
          <w:bCs/>
        </w:rPr>
      </w:pPr>
      <w:r w:rsidRPr="00C606A0">
        <w:rPr>
          <w:b/>
          <w:bCs/>
        </w:rPr>
        <w:t>2.6 Timescale and Budget</w:t>
      </w:r>
    </w:p>
    <w:p w14:paraId="3D53A67F" w14:textId="77777777" w:rsidR="00C606A0" w:rsidRPr="00C606A0" w:rsidRDefault="00C606A0" w:rsidP="00C606A0">
      <w:r w:rsidRPr="00C606A0">
        <w:t>Bidders should propose:</w:t>
      </w:r>
    </w:p>
    <w:p w14:paraId="4D27379E" w14:textId="77777777" w:rsidR="00C606A0" w:rsidRPr="00C606A0" w:rsidRDefault="00C606A0" w:rsidP="00C606A0">
      <w:pPr>
        <w:numPr>
          <w:ilvl w:val="0"/>
          <w:numId w:val="14"/>
        </w:numPr>
      </w:pPr>
      <w:r w:rsidRPr="00C606A0">
        <w:t>A clear programme of work</w:t>
      </w:r>
    </w:p>
    <w:p w14:paraId="748D8E4C" w14:textId="77777777" w:rsidR="00C606A0" w:rsidRPr="00C606A0" w:rsidRDefault="00C606A0" w:rsidP="00C606A0">
      <w:pPr>
        <w:numPr>
          <w:ilvl w:val="0"/>
          <w:numId w:val="14"/>
        </w:numPr>
      </w:pPr>
      <w:r w:rsidRPr="00C606A0">
        <w:t>Resourcing and named leads</w:t>
      </w:r>
    </w:p>
    <w:p w14:paraId="7598FB02" w14:textId="77777777" w:rsidR="00C606A0" w:rsidRPr="00C606A0" w:rsidRDefault="00C606A0" w:rsidP="00C606A0">
      <w:pPr>
        <w:numPr>
          <w:ilvl w:val="0"/>
          <w:numId w:val="14"/>
        </w:numPr>
      </w:pPr>
      <w:r w:rsidRPr="00C606A0">
        <w:t>Costs broken down by phase</w:t>
      </w:r>
    </w:p>
    <w:p w14:paraId="08E2703E" w14:textId="77777777" w:rsidR="00C606A0" w:rsidRPr="00C606A0" w:rsidRDefault="00AC734F" w:rsidP="00C606A0">
      <w:r>
        <w:pict w14:anchorId="0B343087">
          <v:rect id="Horizontal Line 7" o:spid="_x0000_s1026"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F8BF61" w14:textId="77777777" w:rsidR="00C606A0" w:rsidRPr="00C606A0" w:rsidRDefault="00C606A0" w:rsidP="00C606A0">
      <w:pPr>
        <w:rPr>
          <w:b/>
          <w:bCs/>
        </w:rPr>
      </w:pPr>
      <w:r w:rsidRPr="00C606A0">
        <w:rPr>
          <w:b/>
          <w:bCs/>
        </w:rPr>
        <w:t>2.7 Tender Evaluation Criteria</w:t>
      </w:r>
    </w:p>
    <w:p w14:paraId="6ED2E9AA" w14:textId="77777777" w:rsidR="00C606A0" w:rsidRPr="00C606A0" w:rsidRDefault="00C606A0" w:rsidP="00C606A0">
      <w:pPr>
        <w:numPr>
          <w:ilvl w:val="0"/>
          <w:numId w:val="15"/>
        </w:numPr>
      </w:pPr>
      <w:r w:rsidRPr="00C606A0">
        <w:t>Understanding of brief and context</w:t>
      </w:r>
    </w:p>
    <w:p w14:paraId="2C5B21A9" w14:textId="77777777" w:rsidR="00C606A0" w:rsidRPr="00C606A0" w:rsidRDefault="00C606A0" w:rsidP="00C606A0">
      <w:pPr>
        <w:numPr>
          <w:ilvl w:val="0"/>
          <w:numId w:val="15"/>
        </w:numPr>
      </w:pPr>
      <w:r w:rsidRPr="00C606A0">
        <w:t>Methodology and robustness</w:t>
      </w:r>
    </w:p>
    <w:p w14:paraId="3F271075" w14:textId="77777777" w:rsidR="00C606A0" w:rsidRPr="00C606A0" w:rsidRDefault="00C606A0" w:rsidP="00C606A0">
      <w:pPr>
        <w:numPr>
          <w:ilvl w:val="0"/>
          <w:numId w:val="15"/>
        </w:numPr>
      </w:pPr>
      <w:r w:rsidRPr="00C606A0">
        <w:t>Relevant experience</w:t>
      </w:r>
    </w:p>
    <w:p w14:paraId="58AF3DF5" w14:textId="77777777" w:rsidR="00C606A0" w:rsidRPr="00C606A0" w:rsidRDefault="00C606A0" w:rsidP="00C606A0">
      <w:pPr>
        <w:numPr>
          <w:ilvl w:val="0"/>
          <w:numId w:val="15"/>
        </w:numPr>
      </w:pPr>
      <w:r w:rsidRPr="00C606A0">
        <w:t>Value for money</w:t>
      </w:r>
    </w:p>
    <w:p w14:paraId="55E8B798" w14:textId="77777777" w:rsidR="00C606A0" w:rsidRPr="00C606A0" w:rsidRDefault="00C606A0" w:rsidP="00C606A0">
      <w:pPr>
        <w:numPr>
          <w:ilvl w:val="0"/>
          <w:numId w:val="15"/>
        </w:numPr>
      </w:pPr>
      <w:r w:rsidRPr="00C606A0">
        <w:t>Independence and credibility</w:t>
      </w:r>
    </w:p>
    <w:p w14:paraId="581DA404" w14:textId="77777777" w:rsidR="0019253E" w:rsidRDefault="0019253E"/>
    <w:p w14:paraId="475C5D13" w14:textId="01A90AA8" w:rsidR="004A70B9" w:rsidRDefault="004A70B9">
      <w:pPr>
        <w:rPr>
          <w:b/>
          <w:bCs/>
        </w:rPr>
      </w:pPr>
      <w:r>
        <w:rPr>
          <w:b/>
          <w:bCs/>
        </w:rPr>
        <w:t>How to respond:</w:t>
      </w:r>
    </w:p>
    <w:p w14:paraId="4952ED46" w14:textId="69FE9B00" w:rsidR="004A70B9" w:rsidRDefault="004A70B9">
      <w:r>
        <w:t xml:space="preserve">Proposals should be sent to the following email address:  </w:t>
      </w:r>
      <w:hyperlink r:id="rId11" w:history="1">
        <w:r w:rsidRPr="00B9034F">
          <w:rPr>
            <w:rStyle w:val="Hyperlink"/>
          </w:rPr>
          <w:t>governance@eventsindustryforum.co.uk</w:t>
        </w:r>
      </w:hyperlink>
    </w:p>
    <w:p w14:paraId="478B54D5" w14:textId="77777777" w:rsidR="004A70B9" w:rsidRDefault="004A70B9"/>
    <w:p w14:paraId="783BC95C" w14:textId="77777777" w:rsidR="004A70B9" w:rsidRPr="004A70B9" w:rsidRDefault="004A70B9"/>
    <w:sectPr w:rsidR="004A70B9" w:rsidRPr="004A7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CE8"/>
    <w:multiLevelType w:val="multilevel"/>
    <w:tmpl w:val="9E304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66016"/>
    <w:multiLevelType w:val="multilevel"/>
    <w:tmpl w:val="D412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0792F"/>
    <w:multiLevelType w:val="multilevel"/>
    <w:tmpl w:val="940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6432"/>
    <w:multiLevelType w:val="multilevel"/>
    <w:tmpl w:val="2A0E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75546"/>
    <w:multiLevelType w:val="multilevel"/>
    <w:tmpl w:val="5B78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73621"/>
    <w:multiLevelType w:val="multilevel"/>
    <w:tmpl w:val="A18A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60CED"/>
    <w:multiLevelType w:val="multilevel"/>
    <w:tmpl w:val="4AB0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E5D07"/>
    <w:multiLevelType w:val="multilevel"/>
    <w:tmpl w:val="2E2CA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F0FE3"/>
    <w:multiLevelType w:val="multilevel"/>
    <w:tmpl w:val="6BF87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A138A"/>
    <w:multiLevelType w:val="multilevel"/>
    <w:tmpl w:val="7876A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60EBB"/>
    <w:multiLevelType w:val="multilevel"/>
    <w:tmpl w:val="B74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967AF"/>
    <w:multiLevelType w:val="multilevel"/>
    <w:tmpl w:val="BE46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B588C"/>
    <w:multiLevelType w:val="multilevel"/>
    <w:tmpl w:val="6CCC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6350E"/>
    <w:multiLevelType w:val="multilevel"/>
    <w:tmpl w:val="1FA8E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E149D"/>
    <w:multiLevelType w:val="multilevel"/>
    <w:tmpl w:val="FE20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E696F"/>
    <w:multiLevelType w:val="multilevel"/>
    <w:tmpl w:val="44C2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304074">
    <w:abstractNumId w:val="5"/>
  </w:num>
  <w:num w:numId="2" w16cid:durableId="845829027">
    <w:abstractNumId w:val="10"/>
  </w:num>
  <w:num w:numId="3" w16cid:durableId="1702704939">
    <w:abstractNumId w:val="9"/>
  </w:num>
  <w:num w:numId="4" w16cid:durableId="1468738507">
    <w:abstractNumId w:val="3"/>
  </w:num>
  <w:num w:numId="5" w16cid:durableId="1162696917">
    <w:abstractNumId w:val="8"/>
  </w:num>
  <w:num w:numId="6" w16cid:durableId="466626918">
    <w:abstractNumId w:val="1"/>
  </w:num>
  <w:num w:numId="7" w16cid:durableId="22946038">
    <w:abstractNumId w:val="12"/>
  </w:num>
  <w:num w:numId="8" w16cid:durableId="1561209952">
    <w:abstractNumId w:val="7"/>
  </w:num>
  <w:num w:numId="9" w16cid:durableId="1729647419">
    <w:abstractNumId w:val="0"/>
  </w:num>
  <w:num w:numId="10" w16cid:durableId="1587230939">
    <w:abstractNumId w:val="11"/>
  </w:num>
  <w:num w:numId="11" w16cid:durableId="1825927386">
    <w:abstractNumId w:val="13"/>
  </w:num>
  <w:num w:numId="12" w16cid:durableId="1357388187">
    <w:abstractNumId w:val="4"/>
  </w:num>
  <w:num w:numId="13" w16cid:durableId="527372004">
    <w:abstractNumId w:val="15"/>
  </w:num>
  <w:num w:numId="14" w16cid:durableId="245380343">
    <w:abstractNumId w:val="14"/>
  </w:num>
  <w:num w:numId="15" w16cid:durableId="1175877758">
    <w:abstractNumId w:val="2"/>
  </w:num>
  <w:num w:numId="16" w16cid:durableId="524488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A0"/>
    <w:rsid w:val="000B4B7D"/>
    <w:rsid w:val="0019253E"/>
    <w:rsid w:val="001A7DF6"/>
    <w:rsid w:val="004777C3"/>
    <w:rsid w:val="004A70B9"/>
    <w:rsid w:val="004F416B"/>
    <w:rsid w:val="005F033D"/>
    <w:rsid w:val="006B5837"/>
    <w:rsid w:val="00752DD9"/>
    <w:rsid w:val="00894F59"/>
    <w:rsid w:val="00AC734F"/>
    <w:rsid w:val="00B70596"/>
    <w:rsid w:val="00C606A0"/>
    <w:rsid w:val="00E32D58"/>
    <w:rsid w:val="00EF2EFB"/>
    <w:rsid w:val="02C0C460"/>
    <w:rsid w:val="05A11DC2"/>
    <w:rsid w:val="09A79EBF"/>
    <w:rsid w:val="0B262B32"/>
    <w:rsid w:val="1212BF0D"/>
    <w:rsid w:val="18A2CC0C"/>
    <w:rsid w:val="262720F2"/>
    <w:rsid w:val="280D330D"/>
    <w:rsid w:val="2A488AC4"/>
    <w:rsid w:val="46AF9076"/>
    <w:rsid w:val="48F0504D"/>
    <w:rsid w:val="55BA1C0C"/>
    <w:rsid w:val="57ECF057"/>
    <w:rsid w:val="586B77F2"/>
    <w:rsid w:val="615DB104"/>
    <w:rsid w:val="6349034A"/>
    <w:rsid w:val="6B33533F"/>
    <w:rsid w:val="71363BFF"/>
    <w:rsid w:val="75539252"/>
    <w:rsid w:val="756AF803"/>
    <w:rsid w:val="7BB9D491"/>
    <w:rsid w:val="7D04AD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B515212"/>
  <w15:chartTrackingRefBased/>
  <w15:docId w15:val="{A39C9543-FBFA-42EF-8B38-746D4C0A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6A0"/>
    <w:rPr>
      <w:rFonts w:eastAsiaTheme="majorEastAsia" w:cstheme="majorBidi"/>
      <w:color w:val="272727" w:themeColor="text1" w:themeTint="D8"/>
    </w:rPr>
  </w:style>
  <w:style w:type="paragraph" w:styleId="Title">
    <w:name w:val="Title"/>
    <w:basedOn w:val="Normal"/>
    <w:next w:val="Normal"/>
    <w:link w:val="TitleChar"/>
    <w:uiPriority w:val="10"/>
    <w:qFormat/>
    <w:rsid w:val="00C60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6A0"/>
    <w:pPr>
      <w:spacing w:before="160"/>
      <w:jc w:val="center"/>
    </w:pPr>
    <w:rPr>
      <w:i/>
      <w:iCs/>
      <w:color w:val="404040" w:themeColor="text1" w:themeTint="BF"/>
    </w:rPr>
  </w:style>
  <w:style w:type="character" w:customStyle="1" w:styleId="QuoteChar">
    <w:name w:val="Quote Char"/>
    <w:basedOn w:val="DefaultParagraphFont"/>
    <w:link w:val="Quote"/>
    <w:uiPriority w:val="29"/>
    <w:rsid w:val="00C606A0"/>
    <w:rPr>
      <w:i/>
      <w:iCs/>
      <w:color w:val="404040" w:themeColor="text1" w:themeTint="BF"/>
    </w:rPr>
  </w:style>
  <w:style w:type="paragraph" w:styleId="ListParagraph">
    <w:name w:val="List Paragraph"/>
    <w:basedOn w:val="Normal"/>
    <w:uiPriority w:val="34"/>
    <w:qFormat/>
    <w:rsid w:val="00C606A0"/>
    <w:pPr>
      <w:ind w:left="720"/>
      <w:contextualSpacing/>
    </w:pPr>
  </w:style>
  <w:style w:type="character" w:styleId="IntenseEmphasis">
    <w:name w:val="Intense Emphasis"/>
    <w:basedOn w:val="DefaultParagraphFont"/>
    <w:uiPriority w:val="21"/>
    <w:qFormat/>
    <w:rsid w:val="00C606A0"/>
    <w:rPr>
      <w:i/>
      <w:iCs/>
      <w:color w:val="0F4761" w:themeColor="accent1" w:themeShade="BF"/>
    </w:rPr>
  </w:style>
  <w:style w:type="paragraph" w:styleId="IntenseQuote">
    <w:name w:val="Intense Quote"/>
    <w:basedOn w:val="Normal"/>
    <w:next w:val="Normal"/>
    <w:link w:val="IntenseQuoteChar"/>
    <w:uiPriority w:val="30"/>
    <w:qFormat/>
    <w:rsid w:val="00C60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6A0"/>
    <w:rPr>
      <w:i/>
      <w:iCs/>
      <w:color w:val="0F4761" w:themeColor="accent1" w:themeShade="BF"/>
    </w:rPr>
  </w:style>
  <w:style w:type="character" w:styleId="IntenseReference">
    <w:name w:val="Intense Reference"/>
    <w:basedOn w:val="DefaultParagraphFont"/>
    <w:uiPriority w:val="32"/>
    <w:qFormat/>
    <w:rsid w:val="00C606A0"/>
    <w:rPr>
      <w:b/>
      <w:bCs/>
      <w:smallCaps/>
      <w:color w:val="0F4761" w:themeColor="accent1" w:themeShade="BF"/>
      <w:spacing w:val="5"/>
    </w:rPr>
  </w:style>
  <w:style w:type="character" w:styleId="Hyperlink">
    <w:name w:val="Hyperlink"/>
    <w:basedOn w:val="DefaultParagraphFont"/>
    <w:uiPriority w:val="99"/>
    <w:unhideWhenUsed/>
    <w:rsid w:val="00C606A0"/>
    <w:rPr>
      <w:color w:val="467886" w:themeColor="hyperlink"/>
      <w:u w:val="single"/>
    </w:rPr>
  </w:style>
  <w:style w:type="character" w:styleId="UnresolvedMention">
    <w:name w:val="Unresolved Mention"/>
    <w:basedOn w:val="DefaultParagraphFont"/>
    <w:uiPriority w:val="99"/>
    <w:semiHidden/>
    <w:unhideWhenUsed/>
    <w:rsid w:val="00C606A0"/>
    <w:rPr>
      <w:color w:val="605E5C"/>
      <w:shd w:val="clear" w:color="auto" w:fill="E1DFDD"/>
    </w:rPr>
  </w:style>
  <w:style w:type="character" w:customStyle="1" w:styleId="apple-converted-space">
    <w:name w:val="apple-converted-space"/>
    <w:basedOn w:val="DefaultParagraphFont"/>
    <w:rsid w:val="004A7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awexplained.com/unincorporated_associat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ance@eventsindustryforum.co.uk" TargetMode="External"/><Relationship Id="rId5" Type="http://schemas.openxmlformats.org/officeDocument/2006/relationships/styles" Target="styles.xml"/><Relationship Id="rId10" Type="http://schemas.openxmlformats.org/officeDocument/2006/relationships/hyperlink" Target="https://www.eventimpacts.com/~/media/files/events/governance-resources/major-event-governance-guidance-document.pdf?la=en" TargetMode="External"/><Relationship Id="rId4" Type="http://schemas.openxmlformats.org/officeDocument/2006/relationships/numbering" Target="numbering.xml"/><Relationship Id="rId9" Type="http://schemas.openxmlformats.org/officeDocument/2006/relationships/hyperlink" Target="https://www.millerthomson.com/en/insights/social-impact/governance-considerations-for-unincorporated-associations-that-will-pay-off-in-the-long-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04352F60D907448ED5370CABED83F1" ma:contentTypeVersion="3" ma:contentTypeDescription="Create a new document." ma:contentTypeScope="" ma:versionID="285875574c5d59c3683b323d96e5f140">
  <xsd:schema xmlns:xsd="http://www.w3.org/2001/XMLSchema" xmlns:xs="http://www.w3.org/2001/XMLSchema" xmlns:p="http://schemas.microsoft.com/office/2006/metadata/properties" xmlns:ns2="dcacff73-0684-4c2f-a04b-038f9de925c8" targetNamespace="http://schemas.microsoft.com/office/2006/metadata/properties" ma:root="true" ma:fieldsID="513525ac50228c061e2cbb15685ae7b5" ns2:_="">
    <xsd:import namespace="dcacff73-0684-4c2f-a04b-038f9de925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f73-0684-4c2f-a04b-038f9de92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5A934-5E61-43B3-AD3B-BBC44B075949}">
  <ds:schemaRefs>
    <ds:schemaRef ds:uri="http://schemas.microsoft.com/sharepoint/v3/contenttype/forms"/>
  </ds:schemaRefs>
</ds:datastoreItem>
</file>

<file path=customXml/itemProps2.xml><?xml version="1.0" encoding="utf-8"?>
<ds:datastoreItem xmlns:ds="http://schemas.openxmlformats.org/officeDocument/2006/customXml" ds:itemID="{2B650BB5-B4F5-4794-9F42-76AACCF49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f73-0684-4c2f-a04b-038f9de92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F002F-58CE-424D-8C40-A115A43E85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1062</Words>
  <Characters>7048</Characters>
  <Application>Microsoft Office Word</Application>
  <DocSecurity>0</DocSecurity>
  <Lines>180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Baird</dc:creator>
  <cp:keywords/>
  <dc:description/>
  <cp:lastModifiedBy>Peter Ward</cp:lastModifiedBy>
  <cp:revision>2</cp:revision>
  <dcterms:created xsi:type="dcterms:W3CDTF">2026-04-28T09:56:00Z</dcterms:created>
  <dcterms:modified xsi:type="dcterms:W3CDTF">2026-04-28T09:56:00Z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0x0101001304352F60D907448ED5370CABED83F1</vt:lpwstr>
  </property>
  <property fmtid="{D5CDD505-2E9C-101B-9397-08002B2CF9AE}" pid="3" name="docLang">
    <vt:lpwstr>en</vt:lpwstr>
  </property>
</Properties>
</file>